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ind w:left="0"/>
        <w:jc w:val="both"/>
        <w:textAlignment w:val="auto"/>
        <w:rPr>
          <w:rFonts w:ascii="Arial" w:hAnsi="Arial" w:eastAsia="等线" w:cs="Arial"/>
          <w:b/>
          <w:sz w:val="36"/>
          <w:szCs w:val="36"/>
        </w:rPr>
      </w:pPr>
      <w:r>
        <w:rPr>
          <w:rFonts w:hint="eastAsia" w:ascii="宋体" w:hAnsi="宋体" w:cs="宋体"/>
          <w:b w:val="0"/>
          <w:bCs w:val="0"/>
          <w:sz w:val="21"/>
          <w:szCs w:val="21"/>
          <w:lang w:val="en-US" w:eastAsia="zh-CN"/>
        </w:rPr>
        <w:t>附件3</w:t>
      </w:r>
    </w:p>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ascii="Arial" w:hAnsi="Arial" w:eastAsia="等线" w:cs="Arial"/>
          <w:b/>
          <w:sz w:val="36"/>
          <w:szCs w:val="36"/>
        </w:rPr>
      </w:pPr>
      <w:r>
        <w:rPr>
          <w:rFonts w:ascii="Arial" w:hAnsi="Arial" w:eastAsia="等线" w:cs="Arial"/>
          <w:b/>
          <w:sz w:val="36"/>
          <w:szCs w:val="36"/>
        </w:rPr>
        <w:t>中山市大涌医院有害生物防治服务采购项目商务技术评分及价格权重表</w:t>
      </w:r>
    </w:p>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ascii="Arial" w:hAnsi="Arial" w:eastAsia="等线" w:cs="Arial"/>
          <w:b/>
          <w:sz w:val="36"/>
          <w:szCs w:val="36"/>
        </w:rPr>
      </w:pPr>
    </w:p>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说明：本评分表总分100分，其中价格部分30分，商务部分30分，技术部分40分；评审小组严格按照本标准对合格供应商的响应文件进行打分，得分最高者为中选候选人（得分相同的，价格较低者优先；价格也相同的，技术得分较高者优先）。</w:t>
      </w:r>
    </w:p>
    <w:tbl>
      <w:tblPr>
        <w:tblStyle w:val="2"/>
        <w:tblW w:w="15645" w:type="dxa"/>
        <w:tblInd w:w="-542"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230"/>
        <w:gridCol w:w="1395"/>
        <w:gridCol w:w="9720"/>
        <w:gridCol w:w="900"/>
        <w:gridCol w:w="2400"/>
      </w:tblGrid>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3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eastAsia" w:ascii="宋体" w:hAnsi="宋体" w:eastAsia="宋体" w:cs="宋体"/>
                <w:sz w:val="21"/>
                <w:szCs w:val="21"/>
              </w:rPr>
            </w:pPr>
            <w:r>
              <w:rPr>
                <w:rFonts w:hint="eastAsia" w:ascii="宋体" w:hAnsi="宋体" w:eastAsia="宋体" w:cs="宋体"/>
                <w:sz w:val="21"/>
                <w:szCs w:val="21"/>
              </w:rPr>
              <w:t>评分类别</w:t>
            </w:r>
          </w:p>
        </w:tc>
        <w:tc>
          <w:tcPr>
            <w:tcW w:w="13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eastAsia" w:ascii="宋体" w:hAnsi="宋体" w:eastAsia="宋体" w:cs="宋体"/>
                <w:sz w:val="21"/>
                <w:szCs w:val="21"/>
              </w:rPr>
            </w:pPr>
            <w:r>
              <w:rPr>
                <w:rFonts w:hint="eastAsia" w:ascii="宋体" w:hAnsi="宋体" w:eastAsia="宋体" w:cs="宋体"/>
                <w:sz w:val="21"/>
                <w:szCs w:val="21"/>
              </w:rPr>
              <w:t>评分项目</w:t>
            </w:r>
          </w:p>
        </w:tc>
        <w:tc>
          <w:tcPr>
            <w:tcW w:w="972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eastAsia" w:ascii="宋体" w:hAnsi="宋体" w:eastAsia="宋体" w:cs="宋体"/>
                <w:sz w:val="21"/>
                <w:szCs w:val="21"/>
              </w:rPr>
            </w:pPr>
            <w:r>
              <w:rPr>
                <w:rFonts w:hint="eastAsia" w:ascii="宋体" w:hAnsi="宋体" w:eastAsia="宋体" w:cs="宋体"/>
                <w:sz w:val="21"/>
                <w:szCs w:val="21"/>
              </w:rPr>
              <w:t>评分标准</w:t>
            </w:r>
          </w:p>
        </w:tc>
        <w:tc>
          <w:tcPr>
            <w:tcW w:w="9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eastAsia" w:ascii="宋体" w:hAnsi="宋体" w:eastAsia="宋体" w:cs="宋体"/>
                <w:sz w:val="21"/>
                <w:szCs w:val="21"/>
              </w:rPr>
            </w:pPr>
            <w:r>
              <w:rPr>
                <w:rFonts w:hint="eastAsia" w:ascii="宋体" w:hAnsi="宋体" w:eastAsia="宋体" w:cs="宋体"/>
                <w:sz w:val="21"/>
                <w:szCs w:val="21"/>
              </w:rPr>
              <w:t>分值</w:t>
            </w:r>
          </w:p>
        </w:tc>
        <w:tc>
          <w:tcPr>
            <w:tcW w:w="24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3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价格部分</w:t>
            </w:r>
          </w:p>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（30分）</w:t>
            </w:r>
          </w:p>
        </w:tc>
        <w:tc>
          <w:tcPr>
            <w:tcW w:w="13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top"/>
          </w:tcPr>
          <w:p>
            <w:pPr>
              <w:keepNext w:val="0"/>
              <w:keepLines w:val="0"/>
              <w:pageBreakBefore w:val="0"/>
              <w:widowControl w:val="0"/>
              <w:kinsoku/>
              <w:wordWrap/>
              <w:overflowPunct/>
              <w:topLinePunct w:val="0"/>
              <w:autoSpaceDE/>
              <w:autoSpaceDN/>
              <w:bidi w:val="0"/>
              <w:adjustRightInd/>
              <w:snapToGrid/>
              <w:spacing w:line="400" w:lineRule="exact"/>
              <w:ind w:left="0" w:leftChars="0"/>
              <w:jc w:val="left"/>
              <w:textAlignment w:val="auto"/>
              <w:rPr>
                <w:rFonts w:hint="eastAsia" w:ascii="宋体" w:hAnsi="宋体" w:eastAsia="宋体" w:cs="宋体"/>
                <w:sz w:val="21"/>
                <w:szCs w:val="21"/>
              </w:rPr>
            </w:pPr>
            <w:r>
              <w:rPr>
                <w:rFonts w:hint="eastAsia" w:ascii="宋体" w:hAnsi="宋体" w:eastAsia="宋体" w:cs="宋体"/>
                <w:sz w:val="21"/>
                <w:szCs w:val="21"/>
              </w:rPr>
              <w:t>投标报价</w:t>
            </w:r>
          </w:p>
        </w:tc>
        <w:tc>
          <w:tcPr>
            <w:tcW w:w="972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top"/>
          </w:tcPr>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投标报价不得超过项目预算29</w:t>
            </w:r>
            <w:r>
              <w:rPr>
                <w:rFonts w:hint="eastAsia" w:ascii="宋体" w:hAnsi="宋体" w:eastAsia="宋体" w:cs="宋体"/>
                <w:sz w:val="21"/>
                <w:szCs w:val="21"/>
                <w:lang w:val="en-US" w:eastAsia="zh-CN"/>
              </w:rPr>
              <w:t>6</w:t>
            </w:r>
            <w:r>
              <w:rPr>
                <w:rFonts w:hint="eastAsia" w:ascii="宋体" w:hAnsi="宋体" w:eastAsia="宋体" w:cs="宋体"/>
                <w:sz w:val="21"/>
                <w:szCs w:val="21"/>
              </w:rPr>
              <w:t>00元，超过预算的投标文件作无效处理；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2. 以有效投标报价中的最低报价为评标基准价，得30分；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3. 其他有效投标报价得分=（评标基准价÷投标报价）×30，保留2位小数。</w:t>
            </w:r>
          </w:p>
        </w:tc>
        <w:tc>
          <w:tcPr>
            <w:tcW w:w="9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top"/>
          </w:tcPr>
          <w:p>
            <w:pPr>
              <w:keepNext w:val="0"/>
              <w:keepLines w:val="0"/>
              <w:pageBreakBefore w:val="0"/>
              <w:widowControl w:val="0"/>
              <w:kinsoku/>
              <w:wordWrap/>
              <w:overflowPunct/>
              <w:topLinePunct w:val="0"/>
              <w:autoSpaceDE/>
              <w:autoSpaceDN/>
              <w:bidi w:val="0"/>
              <w:adjustRightInd/>
              <w:snapToGrid/>
              <w:spacing w:line="400" w:lineRule="exact"/>
              <w:ind w:left="0" w:leftChars="0"/>
              <w:jc w:val="left"/>
              <w:textAlignment w:val="auto"/>
              <w:rPr>
                <w:rFonts w:hint="eastAsia" w:ascii="宋体" w:hAnsi="宋体" w:eastAsia="宋体" w:cs="宋体"/>
                <w:sz w:val="21"/>
                <w:szCs w:val="21"/>
              </w:rPr>
            </w:pPr>
            <w:r>
              <w:rPr>
                <w:rFonts w:hint="eastAsia" w:ascii="宋体" w:hAnsi="宋体" w:eastAsia="宋体" w:cs="宋体"/>
                <w:sz w:val="21"/>
                <w:szCs w:val="21"/>
              </w:rPr>
              <w:t>30</w:t>
            </w:r>
          </w:p>
        </w:tc>
        <w:tc>
          <w:tcPr>
            <w:tcW w:w="24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top"/>
          </w:tcPr>
          <w:p>
            <w:pPr>
              <w:keepNext w:val="0"/>
              <w:keepLines w:val="0"/>
              <w:pageBreakBefore w:val="0"/>
              <w:widowControl w:val="0"/>
              <w:kinsoku/>
              <w:wordWrap/>
              <w:overflowPunct/>
              <w:topLinePunct w:val="0"/>
              <w:autoSpaceDE/>
              <w:autoSpaceDN/>
              <w:bidi w:val="0"/>
              <w:adjustRightInd/>
              <w:snapToGrid/>
              <w:spacing w:line="400" w:lineRule="exact"/>
              <w:ind w:left="0" w:leftChars="0"/>
              <w:jc w:val="left"/>
              <w:textAlignment w:val="auto"/>
              <w:rPr>
                <w:rFonts w:hint="eastAsia" w:ascii="宋体" w:hAnsi="宋体" w:eastAsia="宋体" w:cs="宋体"/>
                <w:sz w:val="21"/>
                <w:szCs w:val="21"/>
              </w:rPr>
            </w:pPr>
            <w:r>
              <w:rPr>
                <w:rFonts w:hint="eastAsia" w:ascii="宋体" w:hAnsi="宋体" w:eastAsia="宋体" w:cs="宋体"/>
                <w:sz w:val="21"/>
                <w:szCs w:val="21"/>
              </w:rPr>
              <w:t>报价为包干价，需符合公告备注要求</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30" w:type="dxa"/>
            <w:vMerge w:val="restar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商务部分</w:t>
            </w:r>
          </w:p>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（30分）</w:t>
            </w:r>
          </w:p>
        </w:tc>
        <w:tc>
          <w:tcPr>
            <w:tcW w:w="13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企业资质与信誉</w:t>
            </w:r>
          </w:p>
        </w:tc>
        <w:tc>
          <w:tcPr>
            <w:tcW w:w="972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具备有害生物防制丙级及以上资质，得5分；资质等级为乙级的，加2分；甲级的，加3分（最高8分）；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2. 未被列入“信用中国”“中国政府采购网”不良信用记录，得2分；有不良记录的，不得分。</w:t>
            </w:r>
          </w:p>
        </w:tc>
        <w:tc>
          <w:tcPr>
            <w:tcW w:w="9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0-10</w:t>
            </w:r>
          </w:p>
        </w:tc>
        <w:tc>
          <w:tcPr>
            <w:tcW w:w="24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需提供资质证书、信用查询截图复印件并加盖公章</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30" w:type="dxa"/>
            <w:vMerge w:val="continue"/>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p>
        </w:tc>
        <w:tc>
          <w:tcPr>
            <w:tcW w:w="13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企业业绩</w:t>
            </w:r>
          </w:p>
        </w:tc>
        <w:tc>
          <w:tcPr>
            <w:tcW w:w="972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近3年内具有类似医院有害生物防治服务项目业绩，每个项目得3分，最多得9分；</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近3年内具有其他公共场所有害生物防治业绩，每个项目得1分，最多得3分；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宋体" w:hAnsi="宋体" w:eastAsia="宋体" w:cs="宋体"/>
                <w:sz w:val="21"/>
                <w:szCs w:val="21"/>
              </w:rPr>
            </w:pPr>
            <w:r>
              <w:rPr>
                <w:rFonts w:hint="eastAsia" w:ascii="宋体" w:hAnsi="宋体" w:eastAsia="宋体" w:cs="宋体"/>
                <w:sz w:val="21"/>
                <w:szCs w:val="21"/>
              </w:rPr>
              <w:t>3. 无相关业绩的，不得分。</w:t>
            </w:r>
          </w:p>
        </w:tc>
        <w:tc>
          <w:tcPr>
            <w:tcW w:w="9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0-12</w:t>
            </w:r>
          </w:p>
        </w:tc>
        <w:tc>
          <w:tcPr>
            <w:tcW w:w="24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需提供合同复印件、验收证明等业绩材料并加盖公章</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30" w:type="dxa"/>
            <w:vMerge w:val="continue"/>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p>
        </w:tc>
        <w:tc>
          <w:tcPr>
            <w:tcW w:w="13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人员配置</w:t>
            </w:r>
          </w:p>
        </w:tc>
        <w:tc>
          <w:tcPr>
            <w:tcW w:w="972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项目负责人具有有害生物防治相关从业资格证书，得3分；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2. 拟投入本项目人员不少于2人，且至少1人具有相关从业资质，得3分；人员不足或无资质的，酌情扣分。</w:t>
            </w:r>
          </w:p>
        </w:tc>
        <w:tc>
          <w:tcPr>
            <w:tcW w:w="9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0-6</w:t>
            </w:r>
          </w:p>
        </w:tc>
        <w:tc>
          <w:tcPr>
            <w:tcW w:w="24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需提供人员名单、资质证书复印件并加盖公章</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30" w:type="dxa"/>
            <w:vMerge w:val="continue"/>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p>
        </w:tc>
        <w:tc>
          <w:tcPr>
            <w:tcW w:w="13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企业综合实力</w:t>
            </w:r>
          </w:p>
        </w:tc>
        <w:tc>
          <w:tcPr>
            <w:tcW w:w="972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结合企业规模、从业年限、设备投入等情况综合打分，从业3年以上、设备齐全的，得0-2分；从业不足3年或设备简陋的，不得分。</w:t>
            </w:r>
          </w:p>
        </w:tc>
        <w:tc>
          <w:tcPr>
            <w:tcW w:w="9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0-2</w:t>
            </w:r>
          </w:p>
        </w:tc>
        <w:tc>
          <w:tcPr>
            <w:tcW w:w="24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可结合设备清单、企业简介等材料打分</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30" w:type="dxa"/>
            <w:vMerge w:val="restar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技术部分</w:t>
            </w:r>
          </w:p>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（40分）</w:t>
            </w:r>
          </w:p>
        </w:tc>
        <w:tc>
          <w:tcPr>
            <w:tcW w:w="13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服务方案</w:t>
            </w:r>
          </w:p>
        </w:tc>
        <w:tc>
          <w:tcPr>
            <w:tcW w:w="972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numPr>
                <w:ilvl w:val="0"/>
                <w:numId w:val="5"/>
              </w:numPr>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服务方案贴合医院场景（门诊、病房、食堂等区域），针对性强，防治流程科学合理，得0-12分；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2. 方案简单粗糙、无针对性，酌情扣分；未提供服务方案的，不得分。</w:t>
            </w:r>
          </w:p>
        </w:tc>
        <w:tc>
          <w:tcPr>
            <w:tcW w:w="9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0-12</w:t>
            </w:r>
          </w:p>
        </w:tc>
        <w:tc>
          <w:tcPr>
            <w:tcW w:w="24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需明确防治范围、频次、方法等内容</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30" w:type="dxa"/>
            <w:vMerge w:val="continue"/>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p>
        </w:tc>
        <w:tc>
          <w:tcPr>
            <w:tcW w:w="13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药品与设备</w:t>
            </w:r>
          </w:p>
        </w:tc>
        <w:tc>
          <w:tcPr>
            <w:tcW w:w="972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所用药品具备“三证”，符合“高效、低毒、低污染”原则，得8分；缺少任一证件的，不得分；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2. 投入设备齐全（喷雾器、诱捕器等），能满足服务需求，得0-5分；设备不足的，酌情扣分。</w:t>
            </w:r>
          </w:p>
        </w:tc>
        <w:tc>
          <w:tcPr>
            <w:tcW w:w="9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0-13</w:t>
            </w:r>
          </w:p>
        </w:tc>
        <w:tc>
          <w:tcPr>
            <w:tcW w:w="24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需提供药品“三证”、设备清单复印件并加盖公章</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30" w:type="dxa"/>
            <w:vMerge w:val="continue"/>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p>
        </w:tc>
        <w:tc>
          <w:tcPr>
            <w:tcW w:w="13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质量保证与应急处置</w:t>
            </w:r>
          </w:p>
        </w:tc>
        <w:tc>
          <w:tcPr>
            <w:tcW w:w="972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1. 提供明确的服务质量标准、质量保证措施，可操作性强，得0-8分；2. 具备完善的应急处置方案（如有害生物暴发应急措施），响应及时，得0-4分；无应急方案的，不得分。</w:t>
            </w:r>
          </w:p>
        </w:tc>
        <w:tc>
          <w:tcPr>
            <w:tcW w:w="9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0-12</w:t>
            </w:r>
          </w:p>
        </w:tc>
        <w:tc>
          <w:tcPr>
            <w:tcW w:w="24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需在服务承诺中明确相关内容</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30" w:type="dxa"/>
            <w:vMerge w:val="continue"/>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p>
        </w:tc>
        <w:tc>
          <w:tcPr>
            <w:tcW w:w="13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服务响应与售后</w:t>
            </w:r>
          </w:p>
        </w:tc>
        <w:tc>
          <w:tcPr>
            <w:tcW w:w="972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服务响应及时，接到医院通知后24小时内到场处理，得2分；响应时间超过24小时的，酌情扣分；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2. 提供完善的售后服务承诺（如定期回访、问题整改等），得1分；无售后承诺的，不得分。</w:t>
            </w:r>
          </w:p>
        </w:tc>
        <w:tc>
          <w:tcPr>
            <w:tcW w:w="9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0-3</w:t>
            </w:r>
          </w:p>
        </w:tc>
        <w:tc>
          <w:tcPr>
            <w:tcW w:w="24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需在响应文件中明确承诺内容</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625" w:type="dxa"/>
            <w:gridSpan w:val="2"/>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总分</w:t>
            </w:r>
          </w:p>
        </w:tc>
        <w:tc>
          <w:tcPr>
            <w:tcW w:w="972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价格部分+商务部分+技术部分</w:t>
            </w:r>
          </w:p>
        </w:tc>
        <w:tc>
          <w:tcPr>
            <w:tcW w:w="9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100</w:t>
            </w:r>
          </w:p>
        </w:tc>
        <w:tc>
          <w:tcPr>
            <w:tcW w:w="240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补充说明：</w:t>
      </w:r>
    </w:p>
    <w:p>
      <w:pPr>
        <w:keepNext w:val="0"/>
        <w:keepLines w:val="0"/>
        <w:pageBreakBefore w:val="0"/>
        <w:widowControl w:val="0"/>
        <w:kinsoku/>
        <w:wordWrap/>
        <w:overflowPunct/>
        <w:topLinePunct w:val="0"/>
        <w:autoSpaceDE/>
        <w:autoSpaceDN/>
        <w:bidi w:val="0"/>
        <w:adjustRightInd/>
        <w:snapToGrid/>
        <w:spacing w:line="400" w:lineRule="exact"/>
        <w:ind w:left="0"/>
        <w:jc w:val="left"/>
        <w:textAlignment w:val="auto"/>
        <w:rPr>
          <w:rFonts w:hint="eastAsia" w:ascii="宋体" w:hAnsi="宋体" w:eastAsia="宋体" w:cs="宋体"/>
          <w:sz w:val="21"/>
          <w:szCs w:val="21"/>
        </w:rPr>
      </w:pPr>
      <w:r>
        <w:rPr>
          <w:rFonts w:hint="eastAsia" w:ascii="宋体" w:hAnsi="宋体" w:eastAsia="宋体" w:cs="宋体"/>
          <w:sz w:val="21"/>
          <w:szCs w:val="21"/>
        </w:rPr>
        <w:t>1. 本评分表严格遵循《中华人民共和国政府采购法》及项目采购公告相关要求制定；</w:t>
      </w:r>
    </w:p>
    <w:p>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评审过程中，评审专家需结合供应商提交的响应文件原件及复印件进行核实打分，复印件未加盖公章的，相关项目不得分；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宋体" w:hAnsi="宋体" w:eastAsia="宋体" w:cs="宋体"/>
          <w:sz w:val="21"/>
          <w:szCs w:val="21"/>
        </w:rPr>
      </w:pPr>
      <w:r>
        <w:rPr>
          <w:rFonts w:hint="eastAsia" w:ascii="宋体" w:hAnsi="宋体" w:eastAsia="宋体" w:cs="宋体"/>
          <w:sz w:val="21"/>
          <w:szCs w:val="21"/>
        </w:rPr>
        <w:t>3. 各项评分均保留2位小数，总分保留2位小数。</w:t>
      </w:r>
      <w:bookmarkStart w:id="0" w:name="_GoBack"/>
      <w:bookmarkEnd w:id="0"/>
    </w:p>
    <w:p>
      <w:pPr>
        <w:spacing w:before="120" w:after="120" w:line="288" w:lineRule="auto"/>
        <w:ind w:left="0"/>
        <w:jc w:val="left"/>
      </w:pPr>
    </w:p>
    <w:sectPr>
      <w:headerReference r:id="rId3" w:type="default"/>
      <w:footerReference r:id="rId4" w:type="default"/>
      <w:pgSz w:w="16840" w:h="11905" w:orient="landscape"/>
      <w:pgMar w:top="1134" w:right="1440" w:bottom="283"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581421"/>
    <w:multiLevelType w:val="singleLevel"/>
    <w:tmpl w:val="87581421"/>
    <w:lvl w:ilvl="0" w:tentative="0">
      <w:start w:val="1"/>
      <w:numFmt w:val="decimal"/>
      <w:suff w:val="space"/>
      <w:lvlText w:val="%1."/>
      <w:lvlJc w:val="left"/>
    </w:lvl>
  </w:abstractNum>
  <w:abstractNum w:abstractNumId="1">
    <w:nsid w:val="D6F7460F"/>
    <w:multiLevelType w:val="singleLevel"/>
    <w:tmpl w:val="D6F7460F"/>
    <w:lvl w:ilvl="0" w:tentative="0">
      <w:start w:val="1"/>
      <w:numFmt w:val="decimal"/>
      <w:suff w:val="space"/>
      <w:lvlText w:val="%1."/>
      <w:lvlJc w:val="left"/>
    </w:lvl>
  </w:abstractNum>
  <w:abstractNum w:abstractNumId="2">
    <w:nsid w:val="1B55AC65"/>
    <w:multiLevelType w:val="singleLevel"/>
    <w:tmpl w:val="1B55AC65"/>
    <w:lvl w:ilvl="0" w:tentative="0">
      <w:start w:val="1"/>
      <w:numFmt w:val="decimal"/>
      <w:suff w:val="space"/>
      <w:lvlText w:val="%1."/>
      <w:lvlJc w:val="left"/>
    </w:lvl>
  </w:abstractNum>
  <w:abstractNum w:abstractNumId="3">
    <w:nsid w:val="25308BDB"/>
    <w:multiLevelType w:val="singleLevel"/>
    <w:tmpl w:val="25308BDB"/>
    <w:lvl w:ilvl="0" w:tentative="0">
      <w:start w:val="1"/>
      <w:numFmt w:val="decimal"/>
      <w:suff w:val="space"/>
      <w:lvlText w:val="%1."/>
      <w:lvlJc w:val="left"/>
    </w:lvl>
  </w:abstractNum>
  <w:abstractNum w:abstractNumId="4">
    <w:nsid w:val="2C26B3B3"/>
    <w:multiLevelType w:val="singleLevel"/>
    <w:tmpl w:val="2C26B3B3"/>
    <w:lvl w:ilvl="0" w:tentative="0">
      <w:start w:val="1"/>
      <w:numFmt w:val="decimal"/>
      <w:suff w:val="space"/>
      <w:lvlText w:val="%1."/>
      <w:lvlJc w:val="left"/>
    </w:lvl>
  </w:abstractNum>
  <w:abstractNum w:abstractNumId="5">
    <w:nsid w:val="38E7EE40"/>
    <w:multiLevelType w:val="singleLevel"/>
    <w:tmpl w:val="38E7EE40"/>
    <w:lvl w:ilvl="0" w:tentative="0">
      <w:start w:val="1"/>
      <w:numFmt w:val="decimal"/>
      <w:suff w:val="space"/>
      <w:lvlText w:val="%1."/>
      <w:lvlJc w:val="left"/>
    </w:lvl>
  </w:abstractNum>
  <w:abstractNum w:abstractNumId="6">
    <w:nsid w:val="580D07B9"/>
    <w:multiLevelType w:val="singleLevel"/>
    <w:tmpl w:val="580D07B9"/>
    <w:lvl w:ilvl="0" w:tentative="0">
      <w:start w:val="1"/>
      <w:numFmt w:val="decimal"/>
      <w:suff w:val="space"/>
      <w:lvlText w:val="%1."/>
      <w:lvlJc w:val="left"/>
    </w:lvl>
  </w:abstractNum>
  <w:num w:numId="1">
    <w:abstractNumId w:val="1"/>
  </w:num>
  <w:num w:numId="2">
    <w:abstractNumId w:val="0"/>
  </w:num>
  <w:num w:numId="3">
    <w:abstractNumId w:val="3"/>
  </w:num>
  <w:num w:numId="4">
    <w:abstractNumId w:val="2"/>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129E15E4"/>
    <w:rsid w:val="33F0489D"/>
    <w:rsid w:val="3CAB098C"/>
    <w:rsid w:val="3FA839B1"/>
    <w:rsid w:val="46026D91"/>
    <w:rsid w:val="47722A3A"/>
    <w:rsid w:val="4B0B1E51"/>
    <w:rsid w:val="4D1B2056"/>
    <w:rsid w:val="59A8010C"/>
    <w:rsid w:val="68A66D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Office_11.8.2.10229_F1E327BC-269C-435d-A152-05C5408002CA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2026-04-27T08:24:00Z</dcterms:created>
  <dc:creator>Apache POI</dc:creator>
  <cp:lastModifiedBy>Administrator</cp:lastModifiedBy>
  <cp:lastPrinted>2026-05-07T06:46:01Z</cp:lastPrinted>
  <dcterms:modified xsi:type="dcterms:W3CDTF">2026-05-07T06:46:55Z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